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E87F" w14:textId="7174C0AC" w:rsidR="00C8754C" w:rsidRPr="00C8754C" w:rsidRDefault="00C8754C" w:rsidP="00C8754C">
      <w:pPr>
        <w:rPr>
          <w:b/>
          <w:bCs/>
          <w:sz w:val="20"/>
          <w:szCs w:val="20"/>
        </w:rPr>
      </w:pPr>
      <w:r w:rsidRPr="00C8754C">
        <w:rPr>
          <w:b/>
          <w:bCs/>
          <w:sz w:val="20"/>
          <w:szCs w:val="20"/>
        </w:rPr>
        <w:t>Agenda Item 8. NDP</w:t>
      </w:r>
    </w:p>
    <w:p w14:paraId="3F84C5B0" w14:textId="77777777" w:rsidR="00C8754C" w:rsidRDefault="00C8754C" w:rsidP="00C8754C">
      <w:pPr>
        <w:rPr>
          <w:sz w:val="20"/>
          <w:szCs w:val="20"/>
        </w:rPr>
      </w:pPr>
    </w:p>
    <w:p w14:paraId="6F067850" w14:textId="7B920125" w:rsidR="00C8754C" w:rsidRDefault="00C8754C" w:rsidP="00C8754C">
      <w:pPr>
        <w:rPr>
          <w:sz w:val="20"/>
          <w:szCs w:val="20"/>
        </w:rPr>
      </w:pPr>
      <w:r>
        <w:rPr>
          <w:sz w:val="20"/>
          <w:szCs w:val="20"/>
        </w:rPr>
        <w:t>Wendy Hopkins from Brodie Planning Associates has sought advice from the Planning and Infrastructure Team that deal with Neighbourhood Development Plans as below:</w:t>
      </w:r>
    </w:p>
    <w:p w14:paraId="26A44AB5" w14:textId="77777777" w:rsidR="00C8754C" w:rsidRPr="00C8754C" w:rsidRDefault="00C8754C" w:rsidP="00C8754C">
      <w:pPr>
        <w:rPr>
          <w:sz w:val="20"/>
          <w:szCs w:val="20"/>
        </w:rPr>
      </w:pPr>
    </w:p>
    <w:p w14:paraId="66428A06" w14:textId="0DCC739C" w:rsidR="00C8754C" w:rsidRPr="00C8754C" w:rsidRDefault="00C8754C" w:rsidP="00C8754C">
      <w:pPr>
        <w:rPr>
          <w:sz w:val="20"/>
          <w:szCs w:val="20"/>
        </w:rPr>
      </w:pPr>
      <w:r w:rsidRPr="00C8754C">
        <w:rPr>
          <w:sz w:val="20"/>
          <w:szCs w:val="20"/>
        </w:rPr>
        <w:t>Pebworth</w:t>
      </w:r>
      <w:r>
        <w:rPr>
          <w:sz w:val="20"/>
          <w:szCs w:val="20"/>
        </w:rPr>
        <w:t xml:space="preserve"> Parish Council is </w:t>
      </w:r>
      <w:r w:rsidRPr="00C8754C">
        <w:rPr>
          <w:sz w:val="20"/>
          <w:szCs w:val="20"/>
        </w:rPr>
        <w:t>seeking to modify the Plan to protect against speculative development/s outside the defined development boundary given Wychavon cannot demonstrate a 5-Yr H</w:t>
      </w:r>
      <w:r>
        <w:rPr>
          <w:sz w:val="20"/>
          <w:szCs w:val="20"/>
        </w:rPr>
        <w:t xml:space="preserve">ousing </w:t>
      </w:r>
      <w:r w:rsidRPr="00C8754C">
        <w:rPr>
          <w:sz w:val="20"/>
          <w:szCs w:val="20"/>
        </w:rPr>
        <w:t>L</w:t>
      </w:r>
      <w:r>
        <w:rPr>
          <w:sz w:val="20"/>
          <w:szCs w:val="20"/>
        </w:rPr>
        <w:t xml:space="preserve">and </w:t>
      </w:r>
      <w:r w:rsidRPr="00C8754C">
        <w:rPr>
          <w:sz w:val="20"/>
          <w:szCs w:val="20"/>
        </w:rPr>
        <w:t>S</w:t>
      </w:r>
      <w:r>
        <w:rPr>
          <w:sz w:val="20"/>
          <w:szCs w:val="20"/>
        </w:rPr>
        <w:t>upply</w:t>
      </w:r>
      <w:r w:rsidRPr="00C8754C">
        <w:rPr>
          <w:sz w:val="20"/>
          <w:szCs w:val="20"/>
        </w:rPr>
        <w:t xml:space="preserve"> and their Plan does not explicitly state that new housing development outside the identified development boundary will be strictly controlled and limited t</w:t>
      </w:r>
      <w:r>
        <w:rPr>
          <w:sz w:val="20"/>
          <w:szCs w:val="20"/>
        </w:rPr>
        <w:t>o</w:t>
      </w:r>
      <w:r w:rsidRPr="00C8754C">
        <w:rPr>
          <w:sz w:val="20"/>
          <w:szCs w:val="20"/>
        </w:rPr>
        <w:t>.  Obviously, the</w:t>
      </w:r>
      <w:r>
        <w:rPr>
          <w:sz w:val="20"/>
          <w:szCs w:val="20"/>
        </w:rPr>
        <w:t xml:space="preserve"> Parish </w:t>
      </w:r>
      <w:proofErr w:type="gramStart"/>
      <w:r>
        <w:rPr>
          <w:sz w:val="20"/>
          <w:szCs w:val="20"/>
        </w:rPr>
        <w:t xml:space="preserve">Council </w:t>
      </w:r>
      <w:r w:rsidRPr="00C8754C">
        <w:rPr>
          <w:sz w:val="20"/>
          <w:szCs w:val="20"/>
        </w:rPr>
        <w:t xml:space="preserve"> would</w:t>
      </w:r>
      <w:proofErr w:type="gramEnd"/>
      <w:r w:rsidRPr="00C8754C">
        <w:rPr>
          <w:sz w:val="20"/>
          <w:szCs w:val="20"/>
        </w:rPr>
        <w:t xml:space="preserve"> like to find the quickest and simplest route to modify so a level of protection is in place without the need for a full review of the NDP (ahead of the adoption of the SWDPR) which will, most likely, take a considerable period of time and not afford any protection in the shorter term.  The PPG outlines three different types of modification: </w:t>
      </w:r>
    </w:p>
    <w:p w14:paraId="21B5F6DA" w14:textId="77777777" w:rsidR="00C8754C" w:rsidRPr="00C8754C" w:rsidRDefault="00C8754C" w:rsidP="00C8754C">
      <w:pPr>
        <w:rPr>
          <w:sz w:val="20"/>
          <w:szCs w:val="20"/>
        </w:rPr>
      </w:pPr>
    </w:p>
    <w:p w14:paraId="5CCBC789" w14:textId="77777777" w:rsidR="00C8754C" w:rsidRPr="00C8754C" w:rsidRDefault="00C8754C" w:rsidP="00C8754C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0"/>
          <w:szCs w:val="20"/>
        </w:rPr>
      </w:pPr>
      <w:r w:rsidRPr="00C8754C">
        <w:rPr>
          <w:rFonts w:eastAsia="Times New Roman"/>
          <w:sz w:val="20"/>
          <w:szCs w:val="20"/>
        </w:rPr>
        <w:t>Minor (non-material) modifications.</w:t>
      </w:r>
    </w:p>
    <w:p w14:paraId="10B2B168" w14:textId="77777777" w:rsidR="00C8754C" w:rsidRPr="00C8754C" w:rsidRDefault="00C8754C" w:rsidP="00C8754C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0"/>
          <w:szCs w:val="20"/>
        </w:rPr>
      </w:pPr>
      <w:r w:rsidRPr="00C8754C">
        <w:rPr>
          <w:rFonts w:eastAsia="Times New Roman"/>
          <w:sz w:val="20"/>
          <w:szCs w:val="20"/>
        </w:rPr>
        <w:t>Material modifications which do not change the nature of the plan.</w:t>
      </w:r>
    </w:p>
    <w:p w14:paraId="324CA611" w14:textId="77777777" w:rsidR="00C8754C" w:rsidRPr="00C8754C" w:rsidRDefault="00C8754C" w:rsidP="00C8754C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0"/>
          <w:szCs w:val="20"/>
        </w:rPr>
      </w:pPr>
      <w:r w:rsidRPr="00C8754C">
        <w:rPr>
          <w:rFonts w:eastAsia="Times New Roman"/>
          <w:sz w:val="20"/>
          <w:szCs w:val="20"/>
        </w:rPr>
        <w:t>Material modifications which do change the nature of the plan.</w:t>
      </w:r>
    </w:p>
    <w:p w14:paraId="418BB85C" w14:textId="77777777" w:rsidR="00C8754C" w:rsidRPr="00C8754C" w:rsidRDefault="00C8754C" w:rsidP="00C8754C">
      <w:pPr>
        <w:rPr>
          <w:sz w:val="20"/>
          <w:szCs w:val="20"/>
        </w:rPr>
      </w:pPr>
    </w:p>
    <w:p w14:paraId="282C87A0" w14:textId="76083284" w:rsidR="00C8754C" w:rsidRPr="00C8754C" w:rsidRDefault="00C8754C" w:rsidP="00C8754C">
      <w:pPr>
        <w:rPr>
          <w:sz w:val="20"/>
          <w:szCs w:val="20"/>
        </w:rPr>
      </w:pPr>
      <w:r>
        <w:rPr>
          <w:sz w:val="20"/>
          <w:szCs w:val="20"/>
        </w:rPr>
        <w:t>The question asked of the Planning Officer was - D</w:t>
      </w:r>
      <w:r w:rsidRPr="00C8754C">
        <w:rPr>
          <w:sz w:val="20"/>
          <w:szCs w:val="20"/>
        </w:rPr>
        <w:t xml:space="preserve">o you think modifying Policy P1 to include the following (exact wording to be agreed) could be considered Minor (non-material) (preferably) or Material </w:t>
      </w:r>
      <w:r w:rsidRPr="00C8754C">
        <w:rPr>
          <w:i/>
          <w:iCs/>
          <w:sz w:val="20"/>
          <w:szCs w:val="20"/>
        </w:rPr>
        <w:t>which does not change the nature of the plan</w:t>
      </w:r>
      <w:r w:rsidRPr="00C8754C">
        <w:rPr>
          <w:sz w:val="20"/>
          <w:szCs w:val="20"/>
        </w:rPr>
        <w:t>:</w:t>
      </w:r>
    </w:p>
    <w:p w14:paraId="4F5BD5AC" w14:textId="77777777" w:rsidR="00C8754C" w:rsidRPr="00C8754C" w:rsidRDefault="00C8754C" w:rsidP="00C8754C">
      <w:pPr>
        <w:rPr>
          <w:sz w:val="20"/>
          <w:szCs w:val="20"/>
        </w:rPr>
      </w:pPr>
    </w:p>
    <w:p w14:paraId="11210B71" w14:textId="77777777" w:rsidR="00C8754C" w:rsidRPr="00C8754C" w:rsidRDefault="00C8754C" w:rsidP="00C8754C">
      <w:pPr>
        <w:rPr>
          <w:i/>
          <w:iCs/>
          <w:sz w:val="20"/>
          <w:szCs w:val="20"/>
        </w:rPr>
      </w:pPr>
      <w:r w:rsidRPr="00C8754C">
        <w:rPr>
          <w:i/>
          <w:iCs/>
          <w:sz w:val="20"/>
          <w:szCs w:val="20"/>
        </w:rPr>
        <w:t xml:space="preserve">e) </w:t>
      </w:r>
      <w:proofErr w:type="gramStart"/>
      <w:r w:rsidRPr="00C8754C">
        <w:rPr>
          <w:i/>
          <w:iCs/>
          <w:sz w:val="20"/>
          <w:szCs w:val="20"/>
        </w:rPr>
        <w:t>New</w:t>
      </w:r>
      <w:proofErr w:type="gramEnd"/>
      <w:r w:rsidRPr="00C8754C">
        <w:rPr>
          <w:i/>
          <w:iCs/>
          <w:sz w:val="20"/>
          <w:szCs w:val="20"/>
        </w:rPr>
        <w:t xml:space="preserve"> housing outside the defined development boundary (as identified in the SWDP 2016) will be strictly controlled and limited to replacement dwellings, rural workers dwellings and rural exceptions for affordable housing.</w:t>
      </w:r>
    </w:p>
    <w:p w14:paraId="15A38DBB" w14:textId="77777777" w:rsidR="00C8754C" w:rsidRPr="00C8754C" w:rsidRDefault="00C8754C" w:rsidP="00C8754C">
      <w:pPr>
        <w:rPr>
          <w:rFonts w:cs="Calibri"/>
          <w:sz w:val="20"/>
          <w:szCs w:val="20"/>
        </w:rPr>
      </w:pPr>
    </w:p>
    <w:p w14:paraId="6D5754AB" w14:textId="77777777" w:rsidR="00C8754C" w:rsidRDefault="00C8754C" w:rsidP="00C8754C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Planning Officer responded:</w:t>
      </w:r>
    </w:p>
    <w:p w14:paraId="2E54857E" w14:textId="77777777" w:rsidR="00C8754C" w:rsidRDefault="00C8754C" w:rsidP="00C8754C">
      <w:pPr>
        <w:rPr>
          <w:rFonts w:cs="Calibri"/>
          <w:sz w:val="20"/>
          <w:szCs w:val="20"/>
        </w:rPr>
      </w:pPr>
    </w:p>
    <w:p w14:paraId="612FC741" w14:textId="4A5808C0" w:rsidR="00C8754C" w:rsidRPr="00C8754C" w:rsidRDefault="00C8754C" w:rsidP="00C8754C">
      <w:pPr>
        <w:rPr>
          <w:rFonts w:cs="Calibri"/>
          <w:sz w:val="20"/>
          <w:szCs w:val="20"/>
        </w:rPr>
      </w:pPr>
      <w:r w:rsidRPr="00C8754C">
        <w:rPr>
          <w:rFonts w:cs="Calibri"/>
          <w:sz w:val="20"/>
          <w:szCs w:val="20"/>
        </w:rPr>
        <w:t xml:space="preserve">We would advise that adding a development boundary to the NDP would be a material modification which does change the nature of the plan. This is because whilst it is implied/assumed that development would not be acceptable outside of the Pebworth Development Boundary, the NDP itself does not cover this so adding this in would be a substantial change. A material modification that changes the nature of the plan would require independent examination and a referendum. </w:t>
      </w:r>
    </w:p>
    <w:p w14:paraId="69624252" w14:textId="77777777" w:rsidR="00C8754C" w:rsidRPr="00C8754C" w:rsidRDefault="00C8754C" w:rsidP="00C8754C">
      <w:pPr>
        <w:rPr>
          <w:rFonts w:cs="Calibri"/>
          <w:sz w:val="20"/>
          <w:szCs w:val="20"/>
        </w:rPr>
      </w:pPr>
    </w:p>
    <w:p w14:paraId="66A341BE" w14:textId="77777777" w:rsidR="00C8754C" w:rsidRPr="00C8754C" w:rsidRDefault="00C8754C" w:rsidP="00C8754C">
      <w:pPr>
        <w:rPr>
          <w:rFonts w:cs="Calibri"/>
          <w:sz w:val="20"/>
          <w:szCs w:val="20"/>
        </w:rPr>
      </w:pPr>
      <w:r w:rsidRPr="00C8754C">
        <w:rPr>
          <w:rFonts w:cs="Calibri"/>
          <w:sz w:val="20"/>
          <w:szCs w:val="20"/>
        </w:rPr>
        <w:t xml:space="preserve">Examinations are taking around 2-3 months </w:t>
      </w:r>
      <w:proofErr w:type="gramStart"/>
      <w:r w:rsidRPr="00C8754C">
        <w:rPr>
          <w:rFonts w:cs="Calibri"/>
          <w:sz w:val="20"/>
          <w:szCs w:val="20"/>
        </w:rPr>
        <w:t>at the moment</w:t>
      </w:r>
      <w:proofErr w:type="gramEnd"/>
      <w:r w:rsidRPr="00C8754C">
        <w:rPr>
          <w:rFonts w:cs="Calibri"/>
          <w:sz w:val="20"/>
          <w:szCs w:val="20"/>
        </w:rPr>
        <w:t xml:space="preserve">, depending on how many questions the examiner asks etc. Whilst there would only be one main change to the NDP policies, the examiner would need to consider the NDP as a whole and whether it still is in general conformity with the SWDP and the NPPF. </w:t>
      </w:r>
    </w:p>
    <w:p w14:paraId="3B0139FB" w14:textId="77777777" w:rsidR="00C8754C" w:rsidRPr="00C8754C" w:rsidRDefault="00C8754C" w:rsidP="00C8754C">
      <w:pPr>
        <w:rPr>
          <w:rFonts w:cs="Calibri"/>
          <w:sz w:val="20"/>
          <w:szCs w:val="20"/>
        </w:rPr>
      </w:pPr>
    </w:p>
    <w:p w14:paraId="466D56C6" w14:textId="4A96CAD2" w:rsidR="00C8754C" w:rsidRPr="00C8754C" w:rsidRDefault="00C8754C" w:rsidP="00C8754C">
      <w:pPr>
        <w:rPr>
          <w:rFonts w:cs="Calibri"/>
          <w:sz w:val="20"/>
          <w:szCs w:val="20"/>
        </w:rPr>
      </w:pPr>
      <w:r w:rsidRPr="00C8754C">
        <w:rPr>
          <w:rFonts w:cs="Calibri"/>
          <w:sz w:val="20"/>
          <w:szCs w:val="20"/>
        </w:rPr>
        <w:t>Clerk has requested Brodie Planning Associates provide a quote to move forward.</w:t>
      </w:r>
    </w:p>
    <w:p w14:paraId="77A64C5C" w14:textId="77777777" w:rsidR="00C8754C" w:rsidRPr="00C8754C" w:rsidRDefault="00C8754C" w:rsidP="00C8754C">
      <w:pPr>
        <w:rPr>
          <w:rFonts w:cs="Calibri"/>
          <w:sz w:val="20"/>
          <w:szCs w:val="20"/>
        </w:rPr>
      </w:pPr>
    </w:p>
    <w:p w14:paraId="58C843DB" w14:textId="77777777" w:rsidR="00C8754C" w:rsidRPr="00C8754C" w:rsidRDefault="00C8754C" w:rsidP="00C8754C">
      <w:pPr>
        <w:rPr>
          <w:rFonts w:cs="Calibri"/>
          <w:sz w:val="20"/>
          <w:szCs w:val="20"/>
        </w:rPr>
      </w:pPr>
    </w:p>
    <w:p w14:paraId="76695995" w14:textId="77777777" w:rsidR="009D2772" w:rsidRPr="00C8754C" w:rsidRDefault="009D2772">
      <w:pPr>
        <w:rPr>
          <w:sz w:val="20"/>
          <w:szCs w:val="20"/>
        </w:rPr>
      </w:pPr>
    </w:p>
    <w:sectPr w:rsidR="009D2772" w:rsidRPr="00C87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567D"/>
    <w:multiLevelType w:val="hybridMultilevel"/>
    <w:tmpl w:val="624A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466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AA"/>
    <w:rsid w:val="009D2772"/>
    <w:rsid w:val="009E59AA"/>
    <w:rsid w:val="00C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B0D0"/>
  <w15:chartTrackingRefBased/>
  <w15:docId w15:val="{1BA3ABA6-C167-45C1-9FA4-BB927675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4C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2</cp:revision>
  <dcterms:created xsi:type="dcterms:W3CDTF">2024-03-27T16:12:00Z</dcterms:created>
  <dcterms:modified xsi:type="dcterms:W3CDTF">2024-03-27T16:19:00Z</dcterms:modified>
</cp:coreProperties>
</file>